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5"/>
        <w:gridCol w:w="4951"/>
        <w:gridCol w:w="1019"/>
        <w:gridCol w:w="615"/>
        <w:gridCol w:w="780"/>
        <w:gridCol w:w="615"/>
        <w:gridCol w:w="1080"/>
        <w:gridCol w:w="1080"/>
        <w:gridCol w:w="930"/>
        <w:gridCol w:w="690"/>
        <w:gridCol w:w="975"/>
        <w:gridCol w:w="10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4099" w:type="dxa"/>
            <w:gridSpan w:val="1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50"/>
                <w:szCs w:val="5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50"/>
                <w:szCs w:val="50"/>
                <w:u w:val="none"/>
                <w:lang w:val="en-US" w:eastAsia="zh-CN" w:bidi="ar"/>
              </w:rPr>
              <w:t>2024年度嘉定区养殖环节病死猪无害化处理补助资金发放明细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930" w:type="dxa"/>
            <w:gridSpan w:val="4"/>
            <w:shd w:val="clear"/>
            <w:vAlign w:val="bottom"/>
          </w:tcPr>
          <w:p>
            <w:pPr>
              <w:jc w:val="left"/>
              <w:rPr>
                <w:rFonts w:hint="eastAsia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shd w:val="clear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shd w:val="clear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shd w:val="clear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shd w:val="clear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单位: </w:t>
            </w:r>
          </w:p>
        </w:tc>
        <w:tc>
          <w:tcPr>
            <w:tcW w:w="975" w:type="dxa"/>
            <w:shd w:val="clear"/>
            <w:vAlign w:val="center"/>
          </w:tcPr>
          <w:p>
            <w:pPr>
              <w:jc w:val="center"/>
              <w:rPr>
                <w:rFonts w:hint="eastAsia" w:ascii="Calibri" w:hAnsi="Calibri" w:cs="Calibri" w:eastAsia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alibri" w:hAnsi="Calibri" w:cs="Calibri"/>
                <w:i w:val="0"/>
                <w:color w:val="000000"/>
                <w:sz w:val="24"/>
                <w:szCs w:val="24"/>
                <w:u w:val="none"/>
                <w:lang w:eastAsia="zh-CN"/>
              </w:rPr>
              <w:t>头</w:t>
            </w:r>
          </w:p>
        </w:tc>
        <w:tc>
          <w:tcPr>
            <w:tcW w:w="1019" w:type="dxa"/>
            <w:shd w:val="clear"/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畜禽种类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生猪（已挂标）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仔猪（未挂标）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高温发酵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焚烧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上海明锦畜牧养殖有限公司第一分公司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嘉定区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上海市嘉定区动物疫病预防控制中心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嘉定区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153240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33160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186400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14859"/>
    <w:rsid w:val="2661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2025-09-10T07:24:00Z</dcterms:created>
  <dc:creator>Wing</dc:creator>
  <cp:lastModifiedBy>Wing</cp:lastModifiedBy>
  <dcterms:modified xsi:type="dcterms:W3CDTF">2025-09-10T07:37:52Z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